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0972" w14:textId="09FB16BD" w:rsidR="00F678E1" w:rsidRDefault="00860C6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E39C69" wp14:editId="1C7F4E63">
            <wp:simplePos x="0" y="0"/>
            <wp:positionH relativeFrom="column">
              <wp:posOffset>-554990</wp:posOffset>
            </wp:positionH>
            <wp:positionV relativeFrom="paragraph">
              <wp:posOffset>0</wp:posOffset>
            </wp:positionV>
            <wp:extent cx="4971900" cy="1326787"/>
            <wp:effectExtent l="0" t="0" r="635" b="6985"/>
            <wp:wrapSquare wrapText="bothSides"/>
            <wp:docPr id="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900" cy="132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C67B6" w14:textId="1BA4526E" w:rsidR="00860C6E" w:rsidRDefault="00860C6E" w:rsidP="00860C6E">
      <w:pPr>
        <w:pStyle w:val="NormalWeb"/>
      </w:pPr>
    </w:p>
    <w:p w14:paraId="2B07130E" w14:textId="77777777" w:rsidR="00860C6E" w:rsidRDefault="00860C6E">
      <w:pPr>
        <w:rPr>
          <w:rFonts w:ascii="Arial" w:hAnsi="Arial" w:cs="Arial"/>
        </w:rPr>
      </w:pPr>
    </w:p>
    <w:p w14:paraId="30A0D691" w14:textId="77777777" w:rsidR="00860C6E" w:rsidRDefault="00860C6E">
      <w:pPr>
        <w:rPr>
          <w:rFonts w:ascii="Arial" w:hAnsi="Arial" w:cs="Arial"/>
        </w:rPr>
      </w:pPr>
    </w:p>
    <w:p w14:paraId="2BEEE628" w14:textId="77777777" w:rsidR="00860C6E" w:rsidRDefault="00860C6E">
      <w:pPr>
        <w:rPr>
          <w:rFonts w:ascii="Arial" w:hAnsi="Arial" w:cs="Arial"/>
        </w:rPr>
      </w:pPr>
    </w:p>
    <w:p w14:paraId="52F76F1C" w14:textId="77777777" w:rsidR="00860C6E" w:rsidRDefault="00860C6E">
      <w:pPr>
        <w:rPr>
          <w:rFonts w:ascii="Arial" w:hAnsi="Arial" w:cs="Arial"/>
        </w:rPr>
      </w:pPr>
    </w:p>
    <w:p w14:paraId="48453413" w14:textId="50C34CB6" w:rsidR="00860C6E" w:rsidRPr="00860C6E" w:rsidRDefault="00860C6E" w:rsidP="00860C6E">
      <w:pPr>
        <w:spacing w:line="240" w:lineRule="auto"/>
        <w:rPr>
          <w:rFonts w:ascii="Arial" w:hAnsi="Arial" w:cs="Arial"/>
          <w:b/>
          <w:bCs/>
        </w:rPr>
      </w:pPr>
      <w:r w:rsidRPr="00860C6E">
        <w:rPr>
          <w:rFonts w:ascii="Arial" w:hAnsi="Arial" w:cs="Arial"/>
          <w:b/>
          <w:bCs/>
        </w:rPr>
        <w:t xml:space="preserve">MSA Trust Policy </w:t>
      </w:r>
      <w:r w:rsidR="000565A3">
        <w:rPr>
          <w:rFonts w:ascii="Arial" w:hAnsi="Arial" w:cs="Arial"/>
          <w:b/>
          <w:bCs/>
        </w:rPr>
        <w:t>–</w:t>
      </w:r>
      <w:r w:rsidRPr="00860C6E">
        <w:rPr>
          <w:rFonts w:ascii="Arial" w:hAnsi="Arial" w:cs="Arial"/>
          <w:b/>
          <w:bCs/>
        </w:rPr>
        <w:t xml:space="preserve"> </w:t>
      </w:r>
      <w:r w:rsidR="000565A3">
        <w:rPr>
          <w:rFonts w:ascii="Arial" w:hAnsi="Arial" w:cs="Arial"/>
          <w:b/>
          <w:bCs/>
        </w:rPr>
        <w:t>Stem Cell Research</w:t>
      </w:r>
    </w:p>
    <w:p w14:paraId="18855A21" w14:textId="3C741458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The Trustees of the Multiple System Atrophy Trust recognise that the issues surrounding</w:t>
      </w:r>
      <w:r>
        <w:rPr>
          <w:rFonts w:ascii="Arial" w:hAnsi="Arial" w:cs="Arial"/>
        </w:rPr>
        <w:t xml:space="preserve"> </w:t>
      </w:r>
      <w:r w:rsidRPr="000565A3">
        <w:rPr>
          <w:rFonts w:ascii="Arial" w:hAnsi="Arial" w:cs="Arial"/>
        </w:rPr>
        <w:t>embryonic stem cell research and therapeutic cloning give rise to serious ethical and moral</w:t>
      </w:r>
      <w:r>
        <w:rPr>
          <w:rFonts w:ascii="Arial" w:hAnsi="Arial" w:cs="Arial"/>
        </w:rPr>
        <w:t xml:space="preserve"> </w:t>
      </w:r>
      <w:r w:rsidRPr="000565A3">
        <w:rPr>
          <w:rFonts w:ascii="Arial" w:hAnsi="Arial" w:cs="Arial"/>
        </w:rPr>
        <w:t>questions. In principle, however, they are prepared to fund projects which may involve stem</w:t>
      </w:r>
      <w:r>
        <w:rPr>
          <w:rFonts w:ascii="Arial" w:hAnsi="Arial" w:cs="Arial"/>
        </w:rPr>
        <w:t xml:space="preserve"> </w:t>
      </w:r>
      <w:r w:rsidRPr="000565A3">
        <w:rPr>
          <w:rFonts w:ascii="Arial" w:hAnsi="Arial" w:cs="Arial"/>
        </w:rPr>
        <w:t>cell research provided it has been satisfactorily demonstrated to them that such research is</w:t>
      </w:r>
      <w:r>
        <w:rPr>
          <w:rFonts w:ascii="Arial" w:hAnsi="Arial" w:cs="Arial"/>
        </w:rPr>
        <w:t xml:space="preserve"> </w:t>
      </w:r>
      <w:r w:rsidRPr="000565A3">
        <w:rPr>
          <w:rFonts w:ascii="Arial" w:hAnsi="Arial" w:cs="Arial"/>
        </w:rPr>
        <w:t>legal and has both a sound scientific basis and the potential to lead to viable treatments and/or</w:t>
      </w:r>
      <w:r>
        <w:rPr>
          <w:rFonts w:ascii="Arial" w:hAnsi="Arial" w:cs="Arial"/>
        </w:rPr>
        <w:t xml:space="preserve"> </w:t>
      </w:r>
      <w:r w:rsidRPr="000565A3">
        <w:rPr>
          <w:rFonts w:ascii="Arial" w:hAnsi="Arial" w:cs="Arial"/>
        </w:rPr>
        <w:t>a cure for MSA.</w:t>
      </w:r>
    </w:p>
    <w:p w14:paraId="4EDF554A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</w:p>
    <w:p w14:paraId="3D92157B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Background information on regulation of stem cell research in the UK</w:t>
      </w:r>
    </w:p>
    <w:p w14:paraId="284ED30C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The UK has a well-established regulatory framework for stem cell research. Embryonic stem</w:t>
      </w:r>
    </w:p>
    <w:p w14:paraId="73033226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cell research is allowed subject to a licence from the Human Fertilisation and Embryology</w:t>
      </w:r>
    </w:p>
    <w:p w14:paraId="5CA7BDE2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Authority (HFEA). Licences are granted only if the HFEA is satisfied that any proposed use of</w:t>
      </w:r>
    </w:p>
    <w:p w14:paraId="2A2C7E77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 xml:space="preserve">embryos </w:t>
      </w:r>
      <w:proofErr w:type="gramStart"/>
      <w:r w:rsidRPr="000565A3">
        <w:rPr>
          <w:rFonts w:ascii="Arial" w:hAnsi="Arial" w:cs="Arial"/>
        </w:rPr>
        <w:t>is</w:t>
      </w:r>
      <w:proofErr w:type="gramEnd"/>
      <w:r w:rsidRPr="000565A3">
        <w:rPr>
          <w:rFonts w:ascii="Arial" w:hAnsi="Arial" w:cs="Arial"/>
        </w:rPr>
        <w:t xml:space="preserve"> absolutely necessary for the purposes of the research. Licenced research can only</w:t>
      </w:r>
    </w:p>
    <w:p w14:paraId="07FC5C46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 xml:space="preserve">take place on embryos created in vitro - embryos that have developed from eggs </w:t>
      </w:r>
      <w:proofErr w:type="gramStart"/>
      <w:r w:rsidRPr="000565A3">
        <w:rPr>
          <w:rFonts w:ascii="Arial" w:hAnsi="Arial" w:cs="Arial"/>
        </w:rPr>
        <w:t>fertilised</w:t>
      </w:r>
      <w:proofErr w:type="gramEnd"/>
    </w:p>
    <w:p w14:paraId="776C9004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outside the body. Licensed research can only take place on embryos up to 14 days. Stem</w:t>
      </w:r>
    </w:p>
    <w:p w14:paraId="1ADDD833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cells are isolated from the blastocyst much sooner than this – at five to six days. Embryos that</w:t>
      </w:r>
    </w:p>
    <w:p w14:paraId="4BBBE1FC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are used must have been donated with appropriate consent or have been created by nonreproductive cloning.</w:t>
      </w:r>
    </w:p>
    <w:p w14:paraId="01D96900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Further details are outlined in the Human Fertilisation and Embryology Act (1990) and the</w:t>
      </w:r>
    </w:p>
    <w:p w14:paraId="1ABA6C9A" w14:textId="2639F419" w:rsidR="00860C6E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subsequent Human Fertilisation and Embryology (Research Purposes) Regulations 2001</w:t>
      </w:r>
    </w:p>
    <w:p w14:paraId="3EE4E17C" w14:textId="77777777" w:rsidR="000565A3" w:rsidRDefault="000565A3" w:rsidP="000565A3">
      <w:pPr>
        <w:spacing w:line="276" w:lineRule="auto"/>
        <w:rPr>
          <w:rFonts w:ascii="Arial" w:hAnsi="Arial" w:cs="Arial"/>
        </w:rPr>
      </w:pPr>
    </w:p>
    <w:p w14:paraId="2D37751A" w14:textId="77777777" w:rsidR="000565A3" w:rsidRPr="000565A3" w:rsidRDefault="000565A3" w:rsidP="000565A3">
      <w:pPr>
        <w:spacing w:line="276" w:lineRule="auto"/>
        <w:rPr>
          <w:rFonts w:ascii="Arial" w:hAnsi="Arial" w:cs="Arial"/>
        </w:rPr>
      </w:pPr>
      <w:r w:rsidRPr="000565A3">
        <w:rPr>
          <w:rFonts w:ascii="Arial" w:hAnsi="Arial" w:cs="Arial"/>
        </w:rPr>
        <w:t>Adopted by Trustee Board June 2014.</w:t>
      </w:r>
    </w:p>
    <w:p w14:paraId="77B2E9A4" w14:textId="77777777" w:rsidR="000565A3" w:rsidRDefault="000565A3" w:rsidP="000565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Reviewed in 2021</w:t>
      </w:r>
    </w:p>
    <w:p w14:paraId="5AF612AE" w14:textId="101B059C" w:rsidR="000565A3" w:rsidRPr="000565A3" w:rsidRDefault="000565A3" w:rsidP="000565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Next review 2024</w:t>
      </w:r>
    </w:p>
    <w:sectPr w:rsidR="000565A3" w:rsidRPr="000565A3" w:rsidSect="00860C6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6E"/>
    <w:rsid w:val="000565A3"/>
    <w:rsid w:val="00190A40"/>
    <w:rsid w:val="00860C6E"/>
    <w:rsid w:val="00E72F2D"/>
    <w:rsid w:val="00F6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1DC2"/>
  <w15:chartTrackingRefBased/>
  <w15:docId w15:val="{C6B44E76-B578-4772-857B-180B8255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Rushton</dc:creator>
  <cp:keywords/>
  <dc:description/>
  <cp:lastModifiedBy>Emma Rushton</cp:lastModifiedBy>
  <cp:revision>2</cp:revision>
  <dcterms:created xsi:type="dcterms:W3CDTF">2024-01-05T13:04:00Z</dcterms:created>
  <dcterms:modified xsi:type="dcterms:W3CDTF">2024-01-05T13:04:00Z</dcterms:modified>
</cp:coreProperties>
</file>